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D9A4" w14:textId="46AA60E2" w:rsidR="00914E46" w:rsidRPr="00C9247B" w:rsidRDefault="00914E46" w:rsidP="00914E46">
      <w:pPr>
        <w:pStyle w:val="Ttulo6"/>
        <w:numPr>
          <w:ilvl w:val="0"/>
          <w:numId w:val="0"/>
        </w:numPr>
        <w:ind w:left="60"/>
      </w:pPr>
      <w:r w:rsidRPr="00C9247B">
        <w:t xml:space="preserve">Por medio de la presente, </w:t>
      </w:r>
      <w:r w:rsidR="0098159E" w:rsidRPr="00C9247B">
        <w:t>Yo</w:t>
      </w:r>
      <w:r w:rsidRPr="00C9247B">
        <w:t>____________________________, cédula ________________ y/o mi representada ____________________</w:t>
      </w:r>
      <w:r w:rsidR="0098159E" w:rsidRPr="00C9247B">
        <w:t xml:space="preserve">, </w:t>
      </w:r>
      <w:r w:rsidRPr="00C9247B">
        <w:t>cédula ___________</w:t>
      </w:r>
      <w:r w:rsidR="00AE3FA4" w:rsidRPr="00C9247B">
        <w:t>_ oferente</w:t>
      </w:r>
      <w:r w:rsidRPr="00C9247B">
        <w:t xml:space="preserve"> de la </w:t>
      </w:r>
      <w:r w:rsidR="00AE3FA4" w:rsidRPr="00C9247B">
        <w:t>“PRESTACIÓN DE SERVICIOS DE INSPECCIÓN Y ATENCIÓN DE EVENTOS PARA DIFERENTES ZONAS DEL PAÍS, RELACIONADOS CON LOS SEGUROS QUE EL INS OFRECE EN EL MERCADO NACIONAL”</w:t>
      </w:r>
      <w:r w:rsidRPr="00C9247B">
        <w:t xml:space="preserve">. Declaro bajo fe de juramento que: </w:t>
      </w:r>
    </w:p>
    <w:p w14:paraId="62D04784" w14:textId="77777777" w:rsidR="00BA499D" w:rsidRDefault="00914E46" w:rsidP="00BA499D">
      <w:pPr>
        <w:pStyle w:val="Ttulo6"/>
      </w:pPr>
      <w:r w:rsidRPr="00C9247B">
        <w:t>C</w:t>
      </w:r>
      <w:r w:rsidR="006A59FD" w:rsidRPr="00C9247B">
        <w:t xml:space="preserve">uento con una organización y un giro comercial debidamente constituido y con amplias posibilidades de </w:t>
      </w:r>
      <w:proofErr w:type="gramStart"/>
      <w:r w:rsidR="006A59FD" w:rsidRPr="00C9247B">
        <w:t>auto-organización</w:t>
      </w:r>
      <w:proofErr w:type="gramEnd"/>
      <w:r w:rsidR="006A59FD" w:rsidRPr="00C9247B">
        <w:t xml:space="preserve"> para efectos del servicio a brindar.</w:t>
      </w:r>
    </w:p>
    <w:p w14:paraId="0B3777F6" w14:textId="2418B479" w:rsidR="002A2867" w:rsidRPr="00BA499D" w:rsidRDefault="002A2867" w:rsidP="00BA499D">
      <w:pPr>
        <w:pStyle w:val="Ttulo6"/>
      </w:pPr>
      <w:r w:rsidRPr="00BA499D">
        <w:t>Ni los miembros de la sociedad que represento ni mi persona, nos encontramos sujetos al régimen de prohibiciones de los artículos 22 y 22 bis de la Ley de Contratación Administrativa y 19 del Reglamento a la Ley de Contratación Administrativa, los cuales citan:</w:t>
      </w:r>
    </w:p>
    <w:p w14:paraId="6A01C001" w14:textId="77777777" w:rsidR="002A2867" w:rsidRPr="005F4A55" w:rsidRDefault="002A2867" w:rsidP="002A2867">
      <w:pPr>
        <w:spacing w:before="20" w:after="20"/>
        <w:jc w:val="both"/>
        <w:rPr>
          <w:rFonts w:ascii="Arial" w:hAnsi="Arial" w:cs="Arial"/>
          <w:sz w:val="24"/>
          <w:szCs w:val="24"/>
        </w:rPr>
      </w:pPr>
    </w:p>
    <w:p w14:paraId="602FC393"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Prohibiciones</w:t>
      </w:r>
    </w:p>
    <w:p w14:paraId="236EB6BF"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696576C8"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Sección única</w:t>
      </w:r>
    </w:p>
    <w:p w14:paraId="748AB5BD"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086B00C2"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Artículo 22.-</w:t>
      </w:r>
      <w:r w:rsidRPr="005F4A55">
        <w:rPr>
          <w:rFonts w:ascii="Arial" w:hAnsi="Arial" w:cs="Arial"/>
          <w:b/>
          <w:bCs/>
          <w:i/>
          <w:iCs/>
          <w:color w:val="000000"/>
        </w:rPr>
        <w:t>Ámbito de aplicación</w:t>
      </w:r>
      <w:r w:rsidRPr="005F4A55">
        <w:rPr>
          <w:rFonts w:ascii="Arial" w:hAnsi="Arial" w:cs="Arial"/>
          <w:i/>
          <w:iCs/>
          <w:color w:val="000000"/>
        </w:rPr>
        <w:t>. La prohibición para contratar con la Administración se extiende a la participación en los procedimientos de contratación y a la fase de ejecución del respectivo contrato.</w:t>
      </w:r>
    </w:p>
    <w:p w14:paraId="0C08D7F0"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4A50D446"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w:t>
      </w:r>
    </w:p>
    <w:p w14:paraId="19EC6337"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1CA6EA08"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w:t>
      </w:r>
    </w:p>
    <w:p w14:paraId="4A6CFF76"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52912171"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lastRenderedPageBreak/>
        <w:t>El funcionario sujeto a la respectiva prohibición deberá abstenerse de participar, opinar o influir, en cualquier forma, en la ejecución del contrato.</w:t>
      </w:r>
    </w:p>
    <w:p w14:paraId="24BCC225"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7870D3F7"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El incumplimiento de esta obligación se reputará como falta grave en la prestación del servicio.</w:t>
      </w:r>
    </w:p>
    <w:p w14:paraId="1B80925C"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2E7B8EFE"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14:paraId="55296942"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30B7F1A7"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La participación indirecta existirá cuando por interpósita persona, física o jurídica, se pretenda eludir el alcance de esta prohibición. Para demostrar ambas formas de participación se admitirá toda clase de prueba.</w:t>
      </w:r>
    </w:p>
    <w:p w14:paraId="1BBE63FE" w14:textId="77777777" w:rsidR="002A2867" w:rsidRPr="005F4A55" w:rsidRDefault="002A2867" w:rsidP="002A2867">
      <w:pPr>
        <w:pStyle w:val="NormalWeb"/>
        <w:spacing w:before="20" w:beforeAutospacing="0" w:after="20" w:afterAutospacing="0" w:line="259" w:lineRule="auto"/>
        <w:ind w:left="993" w:right="900"/>
        <w:jc w:val="both"/>
        <w:rPr>
          <w:rFonts w:ascii="Arial" w:hAnsi="Arial" w:cs="Arial"/>
          <w:i/>
          <w:iCs/>
          <w:color w:val="000000"/>
        </w:rPr>
      </w:pPr>
    </w:p>
    <w:p w14:paraId="720ED652"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Artículo 22 </w:t>
      </w:r>
      <w:proofErr w:type="gramStart"/>
      <w:r w:rsidRPr="005F4A55">
        <w:rPr>
          <w:rFonts w:ascii="Arial" w:eastAsia="Times New Roman" w:hAnsi="Arial" w:cs="Arial"/>
          <w:i/>
          <w:iCs/>
          <w:color w:val="000000"/>
          <w:sz w:val="24"/>
          <w:szCs w:val="24"/>
          <w:lang w:val="es-MX" w:eastAsia="es-CR"/>
        </w:rPr>
        <w:t>bis.-</w:t>
      </w:r>
      <w:proofErr w:type="gramEnd"/>
      <w:r w:rsidRPr="005F4A55">
        <w:rPr>
          <w:rFonts w:ascii="Arial" w:eastAsia="Times New Roman" w:hAnsi="Arial" w:cs="Arial"/>
          <w:i/>
          <w:iCs/>
          <w:color w:val="000000"/>
          <w:sz w:val="24"/>
          <w:szCs w:val="24"/>
          <w:lang w:val="es-MX" w:eastAsia="es-CR"/>
        </w:rPr>
        <w:t>Alcance de la prohibición. En los procedimientos de contratación administrativa que promuevan las instituciones sometidas a esta Ley, tendrán prohibido participar como oferentes, en forma directa o indirecta, las siguientes personas:</w:t>
      </w:r>
    </w:p>
    <w:p w14:paraId="3E40F9D5"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5DBD2589"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a) El presidente y los vicepresidentes de la República, los ministros y los viceministros, los diputados a la Asamblea Legislativa, los magistrados propietarios de la Corte Suprema de Justicia y los del Tribunal Supremo de Elecciones, el contralor y el subcontralor generales de la República, el procurador general y el procurador general adjunto de la República, el defensor y el defensor adjunto de los habitantes, el tesorero y el subtesorero nacionales, así como el proveedor y el subproveedor nacionales.</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En los casos de puestos de elección popular, la prohibición comenzará a surtir efectos desde que el Tribunal Supremo de Elecciones declare oficialmente el resultado de las elecciones.</w:t>
      </w:r>
    </w:p>
    <w:p w14:paraId="3C55EBB6"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47407105"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b) Con la propia entidad en la cual sirven, los miembros de junta directiva, los presidentes ejecutivos, los gerentes y los subgerentes, tanto de las instituciones descentralizadas como de </w:t>
      </w:r>
      <w:r w:rsidRPr="005F4A55">
        <w:rPr>
          <w:rFonts w:ascii="Arial" w:eastAsia="Times New Roman" w:hAnsi="Arial" w:cs="Arial"/>
          <w:i/>
          <w:iCs/>
          <w:color w:val="000000"/>
          <w:sz w:val="24"/>
          <w:szCs w:val="24"/>
          <w:lang w:val="es-MX" w:eastAsia="es-CR"/>
        </w:rPr>
        <w:lastRenderedPageBreak/>
        <w:t>las empresas públicas, los regidores propietarios y el alcalde municipal.</w:t>
      </w:r>
    </w:p>
    <w:p w14:paraId="0E3CA6BC"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47D52C93"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 Los funcionarios de las proveedurías y de las asesorías legales, respecto de la entidad en la cual prestan sus servicios.</w:t>
      </w:r>
    </w:p>
    <w:p w14:paraId="581BD8AB"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3F540D16"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 Los funcionarios públicos con influencia o poder de decisión, en cualquier etapa del procedimiento de contratación administrativa, incluso en su fiscalización posterior, en la etapa de ejecución o de construcción.</w:t>
      </w:r>
    </w:p>
    <w:p w14:paraId="1686CD3A"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4C7BE171"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Se entiende que existe injerencia o poder de decisión, cuando el funcionario respectivo, por la clase de funciones que desempeña o por el rango o jerarquía del puesto que sirve, pueda participar en la toma de decisiones o influir en ellas de cualquier manera.</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Este supuesto abarca a quienes deben rendir dictámenes o informes técnicos, preparar o tramitar alguna de las fases del procedimiento de contratación, o fiscalizar la fase de ejecución.</w:t>
      </w:r>
    </w:p>
    <w:p w14:paraId="47848ECE"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43675E1C"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w:t>
      </w:r>
    </w:p>
    <w:p w14:paraId="6F9239E0"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57C3412E"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e) Quienes funjan como asesores de cualquiera de los funcionarios afectados por prohibición, sean estos internos o externos, a título personal o sin ninguna clase de remuneración, respecto de la entidad para la cual presta sus servicios dicho funcionario.</w:t>
      </w:r>
    </w:p>
    <w:p w14:paraId="78A876D2"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71E352D1"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f) Las personas jurídicas en cuyo capital social participe alguno de los funcionarios mencionados en los incisos anteriores, o quienes ejerzan puestos directivos o de representación.</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 xml:space="preserve">Para que la venta o cesión de la participación social respectiva pueda desafectar a la respectiva firma, deberá haber sido hecha al menos con seis meses de anticipación al nombramiento del funcionario respectivo </w:t>
      </w:r>
      <w:r w:rsidRPr="005F4A55">
        <w:rPr>
          <w:rFonts w:ascii="Arial" w:eastAsia="Times New Roman" w:hAnsi="Arial" w:cs="Arial"/>
          <w:i/>
          <w:iCs/>
          <w:color w:val="000000"/>
          <w:sz w:val="24"/>
          <w:szCs w:val="24"/>
          <w:lang w:val="es-MX" w:eastAsia="es-CR"/>
        </w:rPr>
        <w:lastRenderedPageBreak/>
        <w:t>y deberá tener fecha cierta por cualquiera de los medios que la legislación procesal civil permite. Toda venta o cesión posterior a esa fecha no desafectará a la persona jurídica de la prohibición para contratar, mientras dure el nombramiento que la origina.</w:t>
      </w:r>
    </w:p>
    <w:p w14:paraId="38ED17EF"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7ABBF6F9"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14:paraId="17FEB5C8"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21906EEF"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g) Las personas jurídicas sin fines de lucro, tales como asociaciones, fundaciones y cooperativas, en las cuales las personas sujetas a prohibición figuren como directivos, fundadores, representantes, asesores o cualquier otro puesto con capacidad de decisión.</w:t>
      </w:r>
    </w:p>
    <w:p w14:paraId="3CFC7FEC" w14:textId="77777777" w:rsidR="002A2867" w:rsidRDefault="002A2867" w:rsidP="002A2867">
      <w:pPr>
        <w:spacing w:before="20" w:after="20"/>
        <w:ind w:left="993" w:right="900"/>
        <w:jc w:val="both"/>
        <w:rPr>
          <w:rFonts w:ascii="Arial" w:eastAsia="Times New Roman" w:hAnsi="Arial" w:cs="Arial"/>
          <w:i/>
          <w:iCs/>
          <w:color w:val="000000"/>
          <w:sz w:val="24"/>
          <w:szCs w:val="24"/>
          <w:lang w:val="es-MX" w:eastAsia="es-CR"/>
        </w:rPr>
      </w:pPr>
    </w:p>
    <w:p w14:paraId="3DC443F2"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h) El cónyuge, el compañero o la compañera en la unión de hecho, de los funcionarios cubiertos por la prohibición, así como sus parientes por consanguinidad o afinidad hasta el tercer grado inclusive.</w:t>
      </w:r>
    </w:p>
    <w:p w14:paraId="2D6F7222"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277A4650"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i) Las personas jurídicas en las cuales el cónyuge, el compañero, la compañera o los parientes indicados en el inciso anterior, sean titulares de más de un veinticinco por ciento (25%) del capital social o ejerzan algún puesto de dirección o representación.</w:t>
      </w:r>
    </w:p>
    <w:p w14:paraId="18E83B3D"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20355446"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j) Las personas físicas o jurídicas que hayan intervenido como asesoras en cualquier etapa del procedimiento de </w:t>
      </w:r>
      <w:proofErr w:type="gramStart"/>
      <w:r w:rsidRPr="005F4A55">
        <w:rPr>
          <w:rFonts w:ascii="Arial" w:eastAsia="Times New Roman" w:hAnsi="Arial" w:cs="Arial"/>
          <w:i/>
          <w:iCs/>
          <w:color w:val="000000"/>
          <w:sz w:val="24"/>
          <w:szCs w:val="24"/>
          <w:lang w:val="es-MX" w:eastAsia="es-CR"/>
        </w:rPr>
        <w:t>contratación,</w:t>
      </w:r>
      <w:proofErr w:type="gramEnd"/>
      <w:r w:rsidRPr="005F4A55">
        <w:rPr>
          <w:rFonts w:ascii="Arial" w:eastAsia="Times New Roman" w:hAnsi="Arial" w:cs="Arial"/>
          <w:i/>
          <w:iCs/>
          <w:color w:val="000000"/>
          <w:sz w:val="24"/>
          <w:szCs w:val="24"/>
          <w:lang w:val="es-MX" w:eastAsia="es-CR"/>
        </w:rPr>
        <w:t xml:space="preserve"> hayan participado en la elaboración de las especificaciones, los diseños y los planos respectivos, o deban participar en su fiscalización posterior, en la etapa de ejecución o construcción.</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 xml:space="preserve">Esta prohibición no se aplicará en los supuestos en que se liciten conjuntamente el diseño y la construcción de la obra, las variantes </w:t>
      </w:r>
      <w:r w:rsidRPr="005F4A55">
        <w:rPr>
          <w:rFonts w:ascii="Arial" w:eastAsia="Times New Roman" w:hAnsi="Arial" w:cs="Arial"/>
          <w:i/>
          <w:iCs/>
          <w:color w:val="000000"/>
          <w:sz w:val="24"/>
          <w:szCs w:val="24"/>
          <w:lang w:val="es-MX" w:eastAsia="es-CR"/>
        </w:rPr>
        <w:lastRenderedPageBreak/>
        <w:t>alternativas respecto de las especificaciones o los planos suministrados por la Administración.</w:t>
      </w:r>
    </w:p>
    <w:p w14:paraId="38EED55A"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3D7BA1F5"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Las personas y organizaciones sujetas a una </w:t>
      </w:r>
      <w:proofErr w:type="gramStart"/>
      <w:r w:rsidRPr="005F4A55">
        <w:rPr>
          <w:rFonts w:ascii="Arial" w:eastAsia="Times New Roman" w:hAnsi="Arial" w:cs="Arial"/>
          <w:i/>
          <w:iCs/>
          <w:color w:val="000000"/>
          <w:sz w:val="24"/>
          <w:szCs w:val="24"/>
          <w:lang w:val="es-MX" w:eastAsia="es-CR"/>
        </w:rPr>
        <w:t>prohibición,</w:t>
      </w:r>
      <w:proofErr w:type="gramEnd"/>
      <w:r w:rsidRPr="005F4A55">
        <w:rPr>
          <w:rFonts w:ascii="Arial" w:eastAsia="Times New Roman" w:hAnsi="Arial" w:cs="Arial"/>
          <w:i/>
          <w:iCs/>
          <w:color w:val="000000"/>
          <w:sz w:val="24"/>
          <w:szCs w:val="24"/>
          <w:lang w:val="es-MX" w:eastAsia="es-CR"/>
        </w:rPr>
        <w:t xml:space="preserve"> mantendrán el impedimento hasta cumplidos seis meses desde el cese del motivo que le dio origen.</w:t>
      </w:r>
    </w:p>
    <w:p w14:paraId="4B00F9B0"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7F77ABED"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De las prohibiciones anteriores se exceptúan los siguientes casos:</w:t>
      </w:r>
    </w:p>
    <w:p w14:paraId="2D0B9EE1"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p>
    <w:p w14:paraId="31DAFA47"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1. Que se trate de un proveedor único.</w:t>
      </w:r>
    </w:p>
    <w:p w14:paraId="38C035C8"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2. Que se trate de la actividad ordinaria del ente.</w:t>
      </w:r>
    </w:p>
    <w:p w14:paraId="40DC1824" w14:textId="77777777" w:rsidR="002A2867" w:rsidRPr="005F4A55" w:rsidRDefault="002A2867" w:rsidP="002A2867">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3. Que exista un interés manifiesto de colaborar con la Administración.</w:t>
      </w:r>
    </w:p>
    <w:p w14:paraId="5696F8CA" w14:textId="77777777" w:rsidR="002A2867" w:rsidRPr="005F4A55" w:rsidRDefault="002A2867" w:rsidP="002A2867">
      <w:pPr>
        <w:spacing w:before="20" w:after="20"/>
        <w:jc w:val="both"/>
        <w:rPr>
          <w:rFonts w:ascii="Arial" w:hAnsi="Arial" w:cs="Arial"/>
          <w:sz w:val="24"/>
          <w:szCs w:val="24"/>
        </w:rPr>
      </w:pPr>
    </w:p>
    <w:p w14:paraId="78D343CF" w14:textId="77777777" w:rsidR="002A2867" w:rsidRPr="005F4A55" w:rsidRDefault="002A2867" w:rsidP="002A2867">
      <w:pPr>
        <w:spacing w:before="20" w:after="20"/>
        <w:jc w:val="both"/>
        <w:rPr>
          <w:rFonts w:ascii="Arial" w:hAnsi="Arial" w:cs="Arial"/>
          <w:sz w:val="24"/>
          <w:szCs w:val="24"/>
        </w:rPr>
      </w:pPr>
      <w:r w:rsidRPr="005F4A55">
        <w:rPr>
          <w:rFonts w:ascii="Arial" w:hAnsi="Arial" w:cs="Arial"/>
          <w:sz w:val="24"/>
          <w:szCs w:val="24"/>
        </w:rPr>
        <w:t>Así mismo, declaro que ni los miembros de la sociedad que represento ni mi persona, mantenemos algún grado de parentesco</w:t>
      </w:r>
      <w:r>
        <w:rPr>
          <w:rFonts w:ascii="Arial" w:hAnsi="Arial" w:cs="Arial"/>
          <w:sz w:val="24"/>
          <w:szCs w:val="24"/>
        </w:rPr>
        <w:t>,</w:t>
      </w:r>
      <w:r w:rsidRPr="005F4A55">
        <w:rPr>
          <w:rFonts w:ascii="Arial" w:hAnsi="Arial" w:cs="Arial"/>
          <w:sz w:val="24"/>
          <w:szCs w:val="24"/>
        </w:rPr>
        <w:t xml:space="preserve"> consanguinidad o afinidad hasta el tercer grado inclusive con la siguiente lista de personas:</w:t>
      </w:r>
    </w:p>
    <w:p w14:paraId="5BDD41A7" w14:textId="77777777" w:rsidR="002A2867" w:rsidRPr="005F4A55" w:rsidRDefault="002A2867" w:rsidP="002A2867">
      <w:pPr>
        <w:spacing w:before="20" w:after="20"/>
        <w:jc w:val="both"/>
        <w:rPr>
          <w:rFonts w:ascii="Arial" w:hAnsi="Arial" w:cs="Arial"/>
          <w:sz w:val="24"/>
          <w:szCs w:val="24"/>
        </w:rPr>
      </w:pPr>
    </w:p>
    <w:tbl>
      <w:tblPr>
        <w:tblStyle w:val="Tablaconcuadrcula"/>
        <w:tblW w:w="5000" w:type="pct"/>
        <w:tblLook w:val="04A0" w:firstRow="1" w:lastRow="0" w:firstColumn="1" w:lastColumn="0" w:noHBand="0" w:noVBand="1"/>
      </w:tblPr>
      <w:tblGrid>
        <w:gridCol w:w="1817"/>
        <w:gridCol w:w="4758"/>
        <w:gridCol w:w="2253"/>
      </w:tblGrid>
      <w:tr w:rsidR="002A2867" w:rsidRPr="005F4A55" w14:paraId="60E67976" w14:textId="77777777" w:rsidTr="003B435C">
        <w:tc>
          <w:tcPr>
            <w:tcW w:w="1029" w:type="pct"/>
            <w:shd w:val="clear" w:color="auto" w:fill="002060"/>
            <w:hideMark/>
          </w:tcPr>
          <w:p w14:paraId="522C7B69" w14:textId="77777777" w:rsidR="002A2867" w:rsidRPr="005F4A55" w:rsidRDefault="002A2867" w:rsidP="003B435C">
            <w:pPr>
              <w:spacing w:before="20" w:after="20" w:line="259" w:lineRule="auto"/>
              <w:rPr>
                <w:rFonts w:ascii="Arial" w:eastAsia="Times New Roman" w:hAnsi="Arial" w:cs="Arial"/>
                <w:b/>
                <w:bCs/>
                <w:color w:val="FFFFFF" w:themeColor="background1"/>
                <w:sz w:val="24"/>
                <w:szCs w:val="24"/>
                <w:lang w:eastAsia="es-CR"/>
              </w:rPr>
            </w:pPr>
            <w:r w:rsidRPr="005F4A55">
              <w:rPr>
                <w:rFonts w:ascii="Arial" w:eastAsia="Times New Roman" w:hAnsi="Arial" w:cs="Arial"/>
                <w:b/>
                <w:bCs/>
                <w:color w:val="FFFFFF" w:themeColor="background1"/>
                <w:sz w:val="24"/>
                <w:szCs w:val="24"/>
                <w:lang w:eastAsia="es-CR"/>
              </w:rPr>
              <w:t>Rango</w:t>
            </w:r>
          </w:p>
        </w:tc>
        <w:tc>
          <w:tcPr>
            <w:tcW w:w="2695" w:type="pct"/>
            <w:shd w:val="clear" w:color="auto" w:fill="002060"/>
            <w:hideMark/>
          </w:tcPr>
          <w:p w14:paraId="0F873986" w14:textId="77777777" w:rsidR="002A2867" w:rsidRPr="005F4A55" w:rsidRDefault="002A2867" w:rsidP="003B435C">
            <w:pPr>
              <w:spacing w:before="20" w:after="20" w:line="259" w:lineRule="auto"/>
              <w:rPr>
                <w:rFonts w:ascii="Arial" w:eastAsia="Times New Roman" w:hAnsi="Arial" w:cs="Arial"/>
                <w:b/>
                <w:bCs/>
                <w:color w:val="FFFFFF" w:themeColor="background1"/>
                <w:sz w:val="24"/>
                <w:szCs w:val="24"/>
                <w:lang w:eastAsia="es-CR"/>
              </w:rPr>
            </w:pPr>
            <w:r w:rsidRPr="005F4A55">
              <w:rPr>
                <w:rFonts w:ascii="Arial" w:eastAsia="Times New Roman" w:hAnsi="Arial" w:cs="Arial"/>
                <w:b/>
                <w:bCs/>
                <w:color w:val="FFFFFF" w:themeColor="background1"/>
                <w:sz w:val="24"/>
                <w:szCs w:val="24"/>
                <w:lang w:eastAsia="es-CR"/>
              </w:rPr>
              <w:t>Nombre</w:t>
            </w:r>
          </w:p>
        </w:tc>
        <w:tc>
          <w:tcPr>
            <w:tcW w:w="1276" w:type="pct"/>
            <w:shd w:val="clear" w:color="auto" w:fill="002060"/>
            <w:hideMark/>
          </w:tcPr>
          <w:p w14:paraId="51B67D01" w14:textId="77777777" w:rsidR="002A2867" w:rsidRPr="005F4A55" w:rsidRDefault="002A2867" w:rsidP="003B435C">
            <w:pPr>
              <w:spacing w:before="20" w:after="20" w:line="259" w:lineRule="auto"/>
              <w:rPr>
                <w:rFonts w:ascii="Arial" w:eastAsia="Times New Roman" w:hAnsi="Arial" w:cs="Arial"/>
                <w:b/>
                <w:bCs/>
                <w:color w:val="FFFFFF" w:themeColor="background1"/>
                <w:sz w:val="24"/>
                <w:szCs w:val="24"/>
                <w:lang w:eastAsia="es-CR"/>
              </w:rPr>
            </w:pPr>
            <w:r w:rsidRPr="005F4A55">
              <w:rPr>
                <w:rFonts w:ascii="Arial" w:eastAsia="Times New Roman" w:hAnsi="Arial" w:cs="Arial"/>
                <w:b/>
                <w:bCs/>
                <w:color w:val="FFFFFF" w:themeColor="background1"/>
                <w:sz w:val="24"/>
                <w:szCs w:val="24"/>
                <w:lang w:eastAsia="es-CR"/>
              </w:rPr>
              <w:t>Cédula</w:t>
            </w:r>
          </w:p>
        </w:tc>
      </w:tr>
      <w:tr w:rsidR="002A2867" w:rsidRPr="005F4A55" w14:paraId="2F9AAD3A" w14:textId="77777777" w:rsidTr="003B435C">
        <w:tc>
          <w:tcPr>
            <w:tcW w:w="1029" w:type="pct"/>
            <w:hideMark/>
          </w:tcPr>
          <w:p w14:paraId="04CE8581"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Presidente</w:t>
            </w:r>
          </w:p>
        </w:tc>
        <w:tc>
          <w:tcPr>
            <w:tcW w:w="2695" w:type="pct"/>
            <w:hideMark/>
          </w:tcPr>
          <w:p w14:paraId="01E44CFB"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Laura Guevara Gutiérrez</w:t>
            </w:r>
          </w:p>
        </w:tc>
        <w:tc>
          <w:tcPr>
            <w:tcW w:w="1276" w:type="pct"/>
            <w:hideMark/>
          </w:tcPr>
          <w:p w14:paraId="2E69E59E"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1-0874-0360</w:t>
            </w:r>
          </w:p>
        </w:tc>
      </w:tr>
      <w:tr w:rsidR="002A2867" w:rsidRPr="005F4A55" w14:paraId="420DC681" w14:textId="77777777" w:rsidTr="003B435C">
        <w:tc>
          <w:tcPr>
            <w:tcW w:w="1029" w:type="pct"/>
            <w:hideMark/>
          </w:tcPr>
          <w:p w14:paraId="5BF457D8"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Secretaria</w:t>
            </w:r>
          </w:p>
        </w:tc>
        <w:tc>
          <w:tcPr>
            <w:tcW w:w="2695" w:type="pct"/>
            <w:hideMark/>
          </w:tcPr>
          <w:p w14:paraId="47DAE823"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Mónica Araya Esquivel</w:t>
            </w:r>
          </w:p>
        </w:tc>
        <w:tc>
          <w:tcPr>
            <w:tcW w:w="1276" w:type="pct"/>
            <w:hideMark/>
          </w:tcPr>
          <w:p w14:paraId="34086B6B"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1-0775-0541</w:t>
            </w:r>
          </w:p>
        </w:tc>
      </w:tr>
      <w:tr w:rsidR="002A2867" w:rsidRPr="005F4A55" w14:paraId="607585E6" w14:textId="77777777" w:rsidTr="003B435C">
        <w:tc>
          <w:tcPr>
            <w:tcW w:w="1029" w:type="pct"/>
            <w:hideMark/>
          </w:tcPr>
          <w:p w14:paraId="25852C84"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Tesorero</w:t>
            </w:r>
          </w:p>
        </w:tc>
        <w:tc>
          <w:tcPr>
            <w:tcW w:w="2695" w:type="pct"/>
            <w:hideMark/>
          </w:tcPr>
          <w:p w14:paraId="01097BC7"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Juan Ignacio Mata Centeno</w:t>
            </w:r>
          </w:p>
        </w:tc>
        <w:tc>
          <w:tcPr>
            <w:tcW w:w="1276" w:type="pct"/>
            <w:hideMark/>
          </w:tcPr>
          <w:p w14:paraId="63DE4121"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3-0192-1098</w:t>
            </w:r>
          </w:p>
        </w:tc>
      </w:tr>
      <w:tr w:rsidR="002A2867" w:rsidRPr="005F4A55" w14:paraId="063E89F9" w14:textId="77777777" w:rsidTr="003B435C">
        <w:tc>
          <w:tcPr>
            <w:tcW w:w="1029" w:type="pct"/>
            <w:hideMark/>
          </w:tcPr>
          <w:p w14:paraId="179EB7FA"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Vocal</w:t>
            </w:r>
          </w:p>
        </w:tc>
        <w:tc>
          <w:tcPr>
            <w:tcW w:w="2695" w:type="pct"/>
            <w:hideMark/>
          </w:tcPr>
          <w:p w14:paraId="3F04A91E"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Mercedes Campos Alpízar</w:t>
            </w:r>
          </w:p>
        </w:tc>
        <w:tc>
          <w:tcPr>
            <w:tcW w:w="1276" w:type="pct"/>
            <w:hideMark/>
          </w:tcPr>
          <w:p w14:paraId="30D8BFB0"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4-0125-0158</w:t>
            </w:r>
          </w:p>
        </w:tc>
      </w:tr>
      <w:tr w:rsidR="002A2867" w:rsidRPr="005F4A55" w14:paraId="0F33348C" w14:textId="77777777" w:rsidTr="003B435C">
        <w:tc>
          <w:tcPr>
            <w:tcW w:w="1029" w:type="pct"/>
            <w:hideMark/>
          </w:tcPr>
          <w:p w14:paraId="283FD06D"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Fiscal</w:t>
            </w:r>
          </w:p>
        </w:tc>
        <w:tc>
          <w:tcPr>
            <w:tcW w:w="2695" w:type="pct"/>
            <w:hideMark/>
          </w:tcPr>
          <w:p w14:paraId="332BBD91"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Jorge Orlando Navarro Cerdas</w:t>
            </w:r>
          </w:p>
        </w:tc>
        <w:tc>
          <w:tcPr>
            <w:tcW w:w="1276" w:type="pct"/>
            <w:hideMark/>
          </w:tcPr>
          <w:p w14:paraId="30142098" w14:textId="77777777" w:rsidR="002A2867" w:rsidRPr="005F4A55" w:rsidRDefault="002A2867" w:rsidP="003B435C">
            <w:pPr>
              <w:spacing w:before="20" w:after="20" w:line="259" w:lineRule="auto"/>
              <w:rPr>
                <w:rFonts w:ascii="Arial" w:eastAsia="Times New Roman" w:hAnsi="Arial" w:cs="Arial"/>
                <w:color w:val="242424"/>
                <w:sz w:val="24"/>
                <w:szCs w:val="24"/>
                <w:lang w:eastAsia="es-CR"/>
              </w:rPr>
            </w:pPr>
            <w:r w:rsidRPr="005F4A55">
              <w:rPr>
                <w:rFonts w:ascii="Arial" w:eastAsia="Times New Roman" w:hAnsi="Arial" w:cs="Arial"/>
                <w:color w:val="242424"/>
                <w:sz w:val="24"/>
                <w:szCs w:val="24"/>
                <w:lang w:eastAsia="es-CR"/>
              </w:rPr>
              <w:t>1-0470-0744</w:t>
            </w:r>
          </w:p>
        </w:tc>
      </w:tr>
    </w:tbl>
    <w:p w14:paraId="17D18942" w14:textId="77777777" w:rsidR="006A59FD" w:rsidRPr="00C9247B" w:rsidRDefault="006A59FD" w:rsidP="006A59FD">
      <w:pPr>
        <w:pStyle w:val="Ttulo6"/>
      </w:pPr>
      <w:r w:rsidRPr="00C9247B">
        <w:t xml:space="preserve"> Que el origen de los recursos, los ingresos y activos han sido adquiridos a través de actividades lícitas y legítimas, de igual manera, que nunca hemos estado involucrados en delitos que quebranten la legislación nacional e internacional </w:t>
      </w:r>
      <w:r w:rsidRPr="00C9247B">
        <w:lastRenderedPageBreak/>
        <w:t>relacionada con la Legitimación de Capitales, Financiamiento del Terrorismo o Proliferación de Armas de Destrucción Masiva.</w:t>
      </w:r>
    </w:p>
    <w:p w14:paraId="5C8B5E53" w14:textId="77777777" w:rsidR="006A59FD" w:rsidRPr="00C9247B" w:rsidRDefault="006A59FD" w:rsidP="006A59FD">
      <w:pPr>
        <w:pStyle w:val="Ttulo6"/>
      </w:pPr>
      <w:r w:rsidRPr="00C9247B">
        <w:t>Que me encuentro al día en el pago de los impuestos nacionales (Art. 65 RLCA), incluyendo el impuesto a la ley N°9024.</w:t>
      </w:r>
    </w:p>
    <w:p w14:paraId="69AE7C94" w14:textId="77777777" w:rsidR="006A59FD" w:rsidRPr="00C9247B" w:rsidRDefault="006A59FD" w:rsidP="006A59FD">
      <w:pPr>
        <w:pStyle w:val="Ttulo6"/>
      </w:pPr>
      <w:r w:rsidRPr="00C9247B">
        <w:t xml:space="preserve"> Acepto y me comprometo a brindar el servicio a los asegurados y/o terceros.</w:t>
      </w:r>
    </w:p>
    <w:p w14:paraId="65EE1F37" w14:textId="541A31E2" w:rsidR="006A59FD" w:rsidRPr="00C9247B" w:rsidRDefault="006A59FD" w:rsidP="006A59FD">
      <w:pPr>
        <w:pStyle w:val="Ttulo6"/>
      </w:pPr>
      <w:r w:rsidRPr="00C9247B">
        <w:t xml:space="preserve"> Entiendo y acepto en su totalidad las condiciones, obligaciones y requisitos dispuestos en el pliego de condiciones para la Contratación Exceptuada N° </w:t>
      </w:r>
      <w:r w:rsidRPr="00AB0D93">
        <w:t>20</w:t>
      </w:r>
      <w:r w:rsidR="00AE3FA4" w:rsidRPr="00AB0D93">
        <w:t>22</w:t>
      </w:r>
      <w:r w:rsidRPr="00AB0D93">
        <w:t>PP-</w:t>
      </w:r>
      <w:r w:rsidR="00AB0D93">
        <w:t>000006</w:t>
      </w:r>
      <w:r w:rsidRPr="00C9247B">
        <w:t xml:space="preserve"> y me comprometo al fiel cumplimiento de todo lo establecido en el mismo.</w:t>
      </w:r>
    </w:p>
    <w:p w14:paraId="7B307EEE" w14:textId="57280DB2" w:rsidR="006A59FD" w:rsidRPr="00C9247B" w:rsidRDefault="006A59FD" w:rsidP="006A59FD">
      <w:pPr>
        <w:pStyle w:val="Ttulo6"/>
      </w:pPr>
      <w:r w:rsidRPr="00C9247B">
        <w:t xml:space="preserve">Que en los últimos 10 años, tanto yo como Oferente </w:t>
      </w:r>
      <w:r w:rsidR="00AB0D93" w:rsidRPr="00C9247B">
        <w:t>y los</w:t>
      </w:r>
      <w:r w:rsidRPr="00C9247B">
        <w:t xml:space="preserve"> </w:t>
      </w:r>
      <w:proofErr w:type="gramStart"/>
      <w:r w:rsidRPr="00C9247B">
        <w:t>Inspectores  propuesto</w:t>
      </w:r>
      <w:r w:rsidR="006169E3" w:rsidRPr="00C9247B">
        <w:t>s</w:t>
      </w:r>
      <w:proofErr w:type="gramEnd"/>
      <w:r w:rsidRPr="00C9247B">
        <w:t>, no contamos con antecedentes de salidas motivadas, incumplimientos demostrados en la calidad del servicio igual o simila</w:t>
      </w:r>
      <w:r w:rsidR="006169E3" w:rsidRPr="00C9247B">
        <w:t>r al que se requiere ni hemos</w:t>
      </w:r>
      <w:r w:rsidRPr="00C9247B">
        <w:t xml:space="preserve"> comprometido el nombre y/o la imagen del Instituto Nacional de Seguros y/o sus subsidiarias.</w:t>
      </w:r>
    </w:p>
    <w:p w14:paraId="0E827DA1" w14:textId="7B7974F8" w:rsidR="006169E3" w:rsidRPr="00C9247B" w:rsidRDefault="006169E3" w:rsidP="006169E3">
      <w:pPr>
        <w:pStyle w:val="Ttulo6"/>
      </w:pPr>
      <w:r w:rsidRPr="00C9247B">
        <w:t xml:space="preserve">Que tanto yo como </w:t>
      </w:r>
      <w:r w:rsidR="00AE3FA4" w:rsidRPr="00C9247B">
        <w:t>o</w:t>
      </w:r>
      <w:r w:rsidRPr="00C9247B">
        <w:t xml:space="preserve">ferente </w:t>
      </w:r>
      <w:r w:rsidR="00AE3FA4" w:rsidRPr="00C9247B">
        <w:t>y los</w:t>
      </w:r>
      <w:r w:rsidRPr="00C9247B">
        <w:t xml:space="preserve"> </w:t>
      </w:r>
      <w:r w:rsidR="00AB61D4" w:rsidRPr="00C9247B">
        <w:t>inspectores propuestos</w:t>
      </w:r>
      <w:r w:rsidRPr="00C9247B">
        <w:t>, no estamos relacionados laboral o comercialmente con actividades afines con la estimación de daños ni talleres de reparación de vehículos.</w:t>
      </w:r>
    </w:p>
    <w:p w14:paraId="3F1A450F" w14:textId="77777777" w:rsidR="006169E3" w:rsidRPr="00C9247B" w:rsidRDefault="00914E46" w:rsidP="00914E46">
      <w:pPr>
        <w:pStyle w:val="Ttulo6"/>
      </w:pPr>
      <w:r w:rsidRPr="00C9247B">
        <w:t xml:space="preserve"> Asumo la responsabilidad de los Inspectores para mantener una buena imagen de acuerdo con código de vestimenta que se solicite, así como los hábitos de higiene correspondientes.</w:t>
      </w:r>
    </w:p>
    <w:p w14:paraId="6DD8136F" w14:textId="77777777" w:rsidR="006169E3" w:rsidRPr="00C9247B" w:rsidRDefault="006169E3" w:rsidP="006169E3">
      <w:pPr>
        <w:rPr>
          <w:rFonts w:ascii="Arial" w:hAnsi="Arial" w:cs="Arial"/>
          <w:sz w:val="24"/>
          <w:szCs w:val="24"/>
          <w:lang w:eastAsia="es-ES"/>
        </w:rPr>
      </w:pPr>
    </w:p>
    <w:p w14:paraId="156E7201" w14:textId="77777777" w:rsidR="006A59FD" w:rsidRPr="00C9247B" w:rsidRDefault="006A59FD" w:rsidP="006A59FD">
      <w:pPr>
        <w:rPr>
          <w:rFonts w:ascii="Arial" w:hAnsi="Arial" w:cs="Arial"/>
          <w:sz w:val="24"/>
          <w:szCs w:val="24"/>
        </w:rPr>
      </w:pPr>
    </w:p>
    <w:p w14:paraId="49183A66" w14:textId="77777777" w:rsidR="006A59FD" w:rsidRPr="00C9247B" w:rsidRDefault="006A59FD" w:rsidP="006A59FD">
      <w:pPr>
        <w:rPr>
          <w:rFonts w:ascii="Arial" w:hAnsi="Arial" w:cs="Arial"/>
          <w:sz w:val="24"/>
          <w:szCs w:val="24"/>
        </w:rPr>
      </w:pPr>
      <w:r w:rsidRPr="00C9247B">
        <w:rPr>
          <w:rFonts w:ascii="Arial" w:hAnsi="Arial" w:cs="Arial"/>
          <w:sz w:val="24"/>
          <w:szCs w:val="24"/>
        </w:rPr>
        <w:t xml:space="preserve">Firmo en _____________ a las ____ horas del _______ de ____ del 20___. </w:t>
      </w:r>
    </w:p>
    <w:p w14:paraId="41853113" w14:textId="77777777" w:rsidR="006A59FD" w:rsidRPr="00C9247B" w:rsidRDefault="006A59FD" w:rsidP="006A59FD">
      <w:pPr>
        <w:rPr>
          <w:rFonts w:ascii="Arial" w:hAnsi="Arial" w:cs="Arial"/>
          <w:sz w:val="24"/>
          <w:szCs w:val="24"/>
        </w:rPr>
      </w:pPr>
    </w:p>
    <w:p w14:paraId="2DB86D76" w14:textId="77777777" w:rsidR="006A59FD" w:rsidRPr="00C9247B" w:rsidRDefault="006A59FD" w:rsidP="006A59FD">
      <w:pPr>
        <w:rPr>
          <w:rFonts w:ascii="Arial" w:hAnsi="Arial" w:cs="Arial"/>
          <w:sz w:val="24"/>
          <w:szCs w:val="24"/>
        </w:rPr>
      </w:pPr>
      <w:r w:rsidRPr="00C9247B">
        <w:rPr>
          <w:rFonts w:ascii="Arial" w:hAnsi="Arial" w:cs="Arial"/>
          <w:sz w:val="24"/>
          <w:szCs w:val="24"/>
        </w:rPr>
        <w:t xml:space="preserve"> </w:t>
      </w:r>
    </w:p>
    <w:p w14:paraId="174C0D41" w14:textId="77777777" w:rsidR="006A59FD" w:rsidRPr="00C9247B" w:rsidRDefault="006A59FD" w:rsidP="006A59FD">
      <w:pPr>
        <w:rPr>
          <w:rFonts w:ascii="Arial" w:hAnsi="Arial" w:cs="Arial"/>
          <w:sz w:val="24"/>
          <w:szCs w:val="24"/>
        </w:rPr>
      </w:pPr>
      <w:r w:rsidRPr="00C9247B">
        <w:rPr>
          <w:rFonts w:ascii="Arial" w:hAnsi="Arial" w:cs="Arial"/>
          <w:sz w:val="24"/>
          <w:szCs w:val="24"/>
        </w:rPr>
        <w:t xml:space="preserve">____________________________        </w:t>
      </w:r>
    </w:p>
    <w:p w14:paraId="5BA531BB" w14:textId="77777777" w:rsidR="006A59FD" w:rsidRPr="00C9247B" w:rsidRDefault="006A59FD" w:rsidP="006A59FD">
      <w:pPr>
        <w:rPr>
          <w:rFonts w:ascii="Arial" w:hAnsi="Arial" w:cs="Arial"/>
          <w:sz w:val="24"/>
          <w:szCs w:val="24"/>
        </w:rPr>
      </w:pPr>
      <w:r w:rsidRPr="00C9247B">
        <w:rPr>
          <w:rFonts w:ascii="Arial" w:hAnsi="Arial" w:cs="Arial"/>
          <w:sz w:val="24"/>
          <w:szCs w:val="24"/>
        </w:rPr>
        <w:t xml:space="preserve">         Firma represente Legal</w:t>
      </w:r>
      <w:r w:rsidRPr="00C9247B">
        <w:rPr>
          <w:rFonts w:ascii="Arial" w:hAnsi="Arial" w:cs="Arial"/>
          <w:sz w:val="24"/>
          <w:szCs w:val="24"/>
        </w:rPr>
        <w:tab/>
      </w:r>
      <w:r w:rsidRPr="00C9247B">
        <w:rPr>
          <w:rFonts w:ascii="Arial" w:hAnsi="Arial" w:cs="Arial"/>
          <w:sz w:val="24"/>
          <w:szCs w:val="24"/>
        </w:rPr>
        <w:tab/>
      </w:r>
      <w:r w:rsidRPr="00C9247B">
        <w:rPr>
          <w:rFonts w:ascii="Arial" w:hAnsi="Arial" w:cs="Arial"/>
          <w:sz w:val="24"/>
          <w:szCs w:val="24"/>
        </w:rPr>
        <w:tab/>
      </w:r>
      <w:r w:rsidRPr="00C9247B">
        <w:rPr>
          <w:rFonts w:ascii="Arial" w:hAnsi="Arial" w:cs="Arial"/>
          <w:sz w:val="24"/>
          <w:szCs w:val="24"/>
        </w:rPr>
        <w:tab/>
      </w:r>
      <w:r w:rsidRPr="00C9247B">
        <w:rPr>
          <w:rFonts w:ascii="Arial" w:hAnsi="Arial" w:cs="Arial"/>
          <w:sz w:val="24"/>
          <w:szCs w:val="24"/>
        </w:rPr>
        <w:tab/>
        <w:t xml:space="preserve">         </w:t>
      </w:r>
    </w:p>
    <w:p w14:paraId="6B71B8D5" w14:textId="77777777" w:rsidR="00993943" w:rsidRPr="00C9247B" w:rsidRDefault="00993943">
      <w:pPr>
        <w:rPr>
          <w:rFonts w:ascii="Arial" w:hAnsi="Arial" w:cs="Arial"/>
          <w:sz w:val="24"/>
          <w:szCs w:val="24"/>
        </w:rPr>
      </w:pPr>
      <w:r w:rsidRPr="00C9247B">
        <w:rPr>
          <w:rFonts w:ascii="Arial" w:hAnsi="Arial" w:cs="Arial"/>
          <w:sz w:val="24"/>
          <w:szCs w:val="24"/>
        </w:rPr>
        <w:tab/>
      </w:r>
      <w:r w:rsidRPr="00C9247B">
        <w:rPr>
          <w:rFonts w:ascii="Arial" w:hAnsi="Arial" w:cs="Arial"/>
          <w:sz w:val="24"/>
          <w:szCs w:val="24"/>
        </w:rPr>
        <w:tab/>
      </w:r>
      <w:r w:rsidRPr="00C9247B">
        <w:rPr>
          <w:rFonts w:ascii="Arial" w:hAnsi="Arial" w:cs="Arial"/>
          <w:sz w:val="24"/>
          <w:szCs w:val="24"/>
        </w:rPr>
        <w:tab/>
        <w:t xml:space="preserve">         </w:t>
      </w:r>
    </w:p>
    <w:sectPr w:rsidR="00993943" w:rsidRPr="00C9247B" w:rsidSect="00DC7F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CD45" w14:textId="77777777" w:rsidR="00816E7E" w:rsidRDefault="00816E7E" w:rsidP="00993943">
      <w:pPr>
        <w:spacing w:after="0" w:line="240" w:lineRule="auto"/>
      </w:pPr>
      <w:r>
        <w:separator/>
      </w:r>
    </w:p>
  </w:endnote>
  <w:endnote w:type="continuationSeparator" w:id="0">
    <w:p w14:paraId="443DE838" w14:textId="77777777" w:rsidR="00816E7E" w:rsidRDefault="00816E7E"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BF5B" w14:textId="77777777" w:rsidR="00816E7E" w:rsidRDefault="00816E7E" w:rsidP="00993943">
      <w:pPr>
        <w:spacing w:after="0" w:line="240" w:lineRule="auto"/>
      </w:pPr>
      <w:r>
        <w:separator/>
      </w:r>
    </w:p>
  </w:footnote>
  <w:footnote w:type="continuationSeparator" w:id="0">
    <w:p w14:paraId="294ACAAD" w14:textId="77777777" w:rsidR="00816E7E" w:rsidRDefault="00816E7E"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2" w:type="dxa"/>
      <w:tblInd w:w="-1039" w:type="dxa"/>
      <w:tblCellMar>
        <w:left w:w="70" w:type="dxa"/>
        <w:right w:w="70" w:type="dxa"/>
      </w:tblCellMar>
      <w:tblLook w:val="0000" w:firstRow="0" w:lastRow="0" w:firstColumn="0" w:lastColumn="0" w:noHBand="0" w:noVBand="0"/>
    </w:tblPr>
    <w:tblGrid>
      <w:gridCol w:w="3877"/>
      <w:gridCol w:w="7365"/>
    </w:tblGrid>
    <w:tr w:rsidR="00A70FBC" w:rsidRPr="00F622EA" w14:paraId="7E0BF3F7" w14:textId="77777777" w:rsidTr="00A70FBC">
      <w:trPr>
        <w:trHeight w:val="450"/>
      </w:trPr>
      <w:tc>
        <w:tcPr>
          <w:tcW w:w="3877" w:type="dxa"/>
          <w:vMerge w:val="restart"/>
          <w:tcBorders>
            <w:top w:val="single" w:sz="4" w:space="0" w:color="auto"/>
            <w:left w:val="single" w:sz="4" w:space="0" w:color="auto"/>
            <w:right w:val="single" w:sz="4" w:space="0" w:color="auto"/>
          </w:tcBorders>
          <w:vAlign w:val="center"/>
        </w:tcPr>
        <w:p w14:paraId="0B2155B8" w14:textId="77777777" w:rsidR="00A70FBC" w:rsidRPr="00F622EA" w:rsidRDefault="00A70FBC" w:rsidP="00993943">
          <w:pPr>
            <w:jc w:val="center"/>
            <w:rPr>
              <w:b/>
              <w:bCs/>
            </w:rPr>
          </w:pPr>
          <w:r w:rsidRPr="00624FE8">
            <w:rPr>
              <w:rFonts w:ascii="Arial" w:hAnsi="Arial" w:cs="Arial"/>
              <w:b/>
              <w:noProof/>
              <w:lang w:eastAsia="es-CR"/>
            </w:rPr>
            <w:drawing>
              <wp:inline distT="0" distB="0" distL="0" distR="0" wp14:anchorId="6380ECDC" wp14:editId="640B9D58">
                <wp:extent cx="1812898" cy="746150"/>
                <wp:effectExtent l="0" t="0" r="0" b="0"/>
                <wp:docPr id="6" name="Imagen 6"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365" w:type="dxa"/>
          <w:vMerge w:val="restart"/>
          <w:tcBorders>
            <w:top w:val="single" w:sz="4" w:space="0" w:color="auto"/>
            <w:left w:val="single" w:sz="4" w:space="0" w:color="auto"/>
            <w:right w:val="single" w:sz="4" w:space="0" w:color="auto"/>
          </w:tcBorders>
          <w:vAlign w:val="center"/>
        </w:tcPr>
        <w:p w14:paraId="18E21B2F" w14:textId="77777777" w:rsidR="00A70FBC" w:rsidRDefault="00A70FBC" w:rsidP="00993943">
          <w:pPr>
            <w:jc w:val="center"/>
            <w:rPr>
              <w:rFonts w:ascii="Arial" w:hAnsi="Arial" w:cs="Arial"/>
              <w:b/>
              <w:bCs/>
            </w:rPr>
          </w:pPr>
          <w:r>
            <w:rPr>
              <w:rFonts w:ascii="Arial" w:hAnsi="Arial" w:cs="Arial"/>
              <w:b/>
              <w:bCs/>
            </w:rPr>
            <w:t>Declaración Jurada</w:t>
          </w:r>
        </w:p>
        <w:p w14:paraId="35399B6A"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36A5FCD1" w14:textId="77777777" w:rsidTr="00A70FBC">
      <w:trPr>
        <w:trHeight w:val="450"/>
      </w:trPr>
      <w:tc>
        <w:tcPr>
          <w:tcW w:w="3877" w:type="dxa"/>
          <w:vMerge/>
          <w:tcBorders>
            <w:left w:val="single" w:sz="4" w:space="0" w:color="auto"/>
            <w:right w:val="single" w:sz="4" w:space="0" w:color="auto"/>
          </w:tcBorders>
          <w:vAlign w:val="center"/>
        </w:tcPr>
        <w:p w14:paraId="2B9B4F5B" w14:textId="77777777"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14:paraId="00401D05" w14:textId="77777777" w:rsidR="00A70FBC" w:rsidRDefault="00A70FBC" w:rsidP="00993943">
          <w:pPr>
            <w:jc w:val="center"/>
            <w:rPr>
              <w:rFonts w:ascii="Arial" w:hAnsi="Arial" w:cs="Arial"/>
              <w:b/>
              <w:bCs/>
            </w:rPr>
          </w:pPr>
        </w:p>
      </w:tc>
    </w:tr>
    <w:tr w:rsidR="00A70FBC" w:rsidRPr="00F622EA" w14:paraId="2394D9A8" w14:textId="77777777" w:rsidTr="00A70FBC">
      <w:trPr>
        <w:trHeight w:val="450"/>
      </w:trPr>
      <w:tc>
        <w:tcPr>
          <w:tcW w:w="3877" w:type="dxa"/>
          <w:vMerge/>
          <w:tcBorders>
            <w:left w:val="single" w:sz="4" w:space="0" w:color="auto"/>
            <w:right w:val="single" w:sz="4" w:space="0" w:color="auto"/>
          </w:tcBorders>
          <w:vAlign w:val="center"/>
        </w:tcPr>
        <w:p w14:paraId="18E0BA04" w14:textId="77777777"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14:paraId="004CF663" w14:textId="77777777" w:rsidR="00A70FBC" w:rsidRDefault="00A70FBC" w:rsidP="00993943">
          <w:pPr>
            <w:jc w:val="center"/>
            <w:rPr>
              <w:rFonts w:ascii="Arial" w:hAnsi="Arial" w:cs="Arial"/>
              <w:b/>
              <w:bCs/>
            </w:rPr>
          </w:pPr>
        </w:p>
      </w:tc>
    </w:tr>
    <w:tr w:rsidR="00A70FBC" w:rsidRPr="00F622EA" w14:paraId="0E574AAC" w14:textId="77777777" w:rsidTr="00A70FBC">
      <w:trPr>
        <w:trHeight w:val="450"/>
      </w:trPr>
      <w:tc>
        <w:tcPr>
          <w:tcW w:w="3877" w:type="dxa"/>
          <w:vMerge/>
          <w:tcBorders>
            <w:left w:val="single" w:sz="4" w:space="0" w:color="auto"/>
            <w:bottom w:val="single" w:sz="4" w:space="0" w:color="auto"/>
            <w:right w:val="single" w:sz="4" w:space="0" w:color="auto"/>
          </w:tcBorders>
          <w:vAlign w:val="center"/>
        </w:tcPr>
        <w:p w14:paraId="206EC386" w14:textId="77777777" w:rsidR="00A70FBC" w:rsidRPr="005E6E03" w:rsidRDefault="00A70FBC" w:rsidP="00993943">
          <w:pPr>
            <w:jc w:val="center"/>
            <w:rPr>
              <w:b/>
              <w:noProof/>
              <w:lang w:eastAsia="es-CR"/>
            </w:rPr>
          </w:pPr>
        </w:p>
      </w:tc>
      <w:tc>
        <w:tcPr>
          <w:tcW w:w="7365" w:type="dxa"/>
          <w:vMerge/>
          <w:tcBorders>
            <w:left w:val="single" w:sz="4" w:space="0" w:color="auto"/>
            <w:bottom w:val="single" w:sz="4" w:space="0" w:color="auto"/>
            <w:right w:val="single" w:sz="4" w:space="0" w:color="auto"/>
          </w:tcBorders>
          <w:vAlign w:val="center"/>
        </w:tcPr>
        <w:p w14:paraId="544FA41A" w14:textId="77777777" w:rsidR="00A70FBC" w:rsidRDefault="00A70FBC" w:rsidP="00993943">
          <w:pPr>
            <w:jc w:val="center"/>
            <w:rPr>
              <w:rFonts w:ascii="Arial" w:hAnsi="Arial" w:cs="Arial"/>
              <w:b/>
              <w:bCs/>
            </w:rPr>
          </w:pPr>
        </w:p>
      </w:tc>
    </w:tr>
  </w:tbl>
  <w:p w14:paraId="45D85810"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48C"/>
    <w:multiLevelType w:val="hybridMultilevel"/>
    <w:tmpl w:val="BF5004C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61063784">
    <w:abstractNumId w:val="3"/>
  </w:num>
  <w:num w:numId="2" w16cid:durableId="855070859">
    <w:abstractNumId w:val="2"/>
  </w:num>
  <w:num w:numId="3" w16cid:durableId="1855344236">
    <w:abstractNumId w:val="4"/>
  </w:num>
  <w:num w:numId="4" w16cid:durableId="77093603">
    <w:abstractNumId w:val="5"/>
  </w:num>
  <w:num w:numId="5" w16cid:durableId="1336881415">
    <w:abstractNumId w:val="1"/>
  </w:num>
  <w:num w:numId="6" w16cid:durableId="1523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1607F"/>
    <w:rsid w:val="000B66D4"/>
    <w:rsid w:val="00134081"/>
    <w:rsid w:val="00171169"/>
    <w:rsid w:val="001861B3"/>
    <w:rsid w:val="00221C9A"/>
    <w:rsid w:val="00290A56"/>
    <w:rsid w:val="002A2867"/>
    <w:rsid w:val="00603711"/>
    <w:rsid w:val="006169E3"/>
    <w:rsid w:val="006A59FD"/>
    <w:rsid w:val="006B514D"/>
    <w:rsid w:val="00791B64"/>
    <w:rsid w:val="008120F4"/>
    <w:rsid w:val="00816E7E"/>
    <w:rsid w:val="00914E46"/>
    <w:rsid w:val="0098159E"/>
    <w:rsid w:val="00993943"/>
    <w:rsid w:val="009A1BED"/>
    <w:rsid w:val="009B58AD"/>
    <w:rsid w:val="00A70FBC"/>
    <w:rsid w:val="00AB0D93"/>
    <w:rsid w:val="00AB61D4"/>
    <w:rsid w:val="00AE3FA4"/>
    <w:rsid w:val="00BA499D"/>
    <w:rsid w:val="00C9247B"/>
    <w:rsid w:val="00C97CB1"/>
    <w:rsid w:val="00CD79D8"/>
    <w:rsid w:val="00D167C5"/>
    <w:rsid w:val="00DC7F03"/>
    <w:rsid w:val="00E56F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DB3D"/>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03"/>
  </w:style>
  <w:style w:type="paragraph" w:styleId="Ttulo1">
    <w:name w:val="heading 1"/>
    <w:basedOn w:val="Normal"/>
    <w:next w:val="Normal"/>
    <w:link w:val="Ttulo1Car"/>
    <w:uiPriority w:val="9"/>
    <w:qFormat/>
    <w:rsid w:val="00AE3F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character" w:customStyle="1" w:styleId="Ttulo1Car">
    <w:name w:val="Título 1 Car"/>
    <w:basedOn w:val="Fuentedeprrafopredeter"/>
    <w:link w:val="Ttulo1"/>
    <w:uiPriority w:val="9"/>
    <w:rsid w:val="00AE3FA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A2867"/>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2A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1545</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Samantha Fonseca Mora - IS</cp:lastModifiedBy>
  <cp:revision>8</cp:revision>
  <dcterms:created xsi:type="dcterms:W3CDTF">2020-02-24T19:46:00Z</dcterms:created>
  <dcterms:modified xsi:type="dcterms:W3CDTF">2022-11-02T22:58:00Z</dcterms:modified>
</cp:coreProperties>
</file>